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8A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附件：</w:t>
      </w:r>
    </w:p>
    <w:p w14:paraId="2B3A8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36"/>
        </w:rPr>
      </w:pPr>
      <w:r>
        <w:rPr>
          <w:rFonts w:hint="eastAsia" w:ascii="仿宋" w:hAnsi="仿宋" w:eastAsia="仿宋" w:cs="仿宋"/>
          <w:b/>
          <w:bCs/>
          <w:sz w:val="28"/>
          <w:szCs w:val="36"/>
        </w:rPr>
        <w:t>第十二届大学生艺术展演校内评审</w:t>
      </w: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结果</w:t>
      </w:r>
      <w:r>
        <w:rPr>
          <w:rFonts w:hint="eastAsia" w:ascii="仿宋" w:hAnsi="仿宋" w:eastAsia="仿宋" w:cs="仿宋"/>
          <w:b/>
          <w:bCs/>
          <w:sz w:val="28"/>
          <w:szCs w:val="36"/>
        </w:rPr>
        <w:t>及省</w:t>
      </w: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展</w:t>
      </w:r>
      <w:r>
        <w:rPr>
          <w:rFonts w:hint="eastAsia" w:ascii="仿宋" w:hAnsi="仿宋" w:eastAsia="仿宋" w:cs="仿宋"/>
          <w:b/>
          <w:bCs/>
          <w:sz w:val="28"/>
          <w:szCs w:val="36"/>
        </w:rPr>
        <w:t>推荐作品汇总表</w:t>
      </w:r>
    </w:p>
    <w:p w14:paraId="11448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sz w:val="24"/>
          <w:szCs w:val="32"/>
        </w:rPr>
      </w:pPr>
    </w:p>
    <w:tbl>
      <w:tblPr>
        <w:tblStyle w:val="5"/>
        <w:tblW w:w="78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4211"/>
        <w:gridCol w:w="1757"/>
        <w:gridCol w:w="938"/>
      </w:tblGrid>
      <w:tr w14:paraId="4F11F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9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09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C5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0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类型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D3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是否推荐省展</w:t>
            </w:r>
          </w:p>
        </w:tc>
      </w:tr>
      <w:tr w14:paraId="6B750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5FB8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AA0C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5317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0A30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A7AA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9B4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2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80E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</w:rPr>
              <w:t>守艺江西·匠心赣剧</w:t>
            </w:r>
            <w:r>
              <w:rPr>
                <w:rFonts w:hint="eastAsia"/>
                <w:lang w:eastAsia="zh-CN"/>
              </w:rPr>
              <w:t>—</w:t>
            </w:r>
            <w:r>
              <w:rPr>
                <w:rFonts w:hint="eastAsia"/>
              </w:rPr>
              <w:t>非遗传承创新</w:t>
            </w:r>
            <w:r>
              <w:rPr>
                <w:rFonts w:hint="eastAsia"/>
                <w:lang w:eastAsia="zh-CN"/>
              </w:rPr>
              <w:t>艺</w:t>
            </w:r>
            <w:r>
              <w:rPr>
                <w:rFonts w:hint="eastAsia"/>
              </w:rPr>
              <w:t>术实践工作</w:t>
            </w:r>
            <w:r>
              <w:rPr>
                <w:rFonts w:hint="eastAsia"/>
                <w:lang w:eastAsia="zh-CN"/>
              </w:rPr>
              <w:t>》</w:t>
            </w:r>
          </w:p>
        </w:tc>
        <w:tc>
          <w:tcPr>
            <w:tcW w:w="1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6D6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艺术实践工作坊</w:t>
            </w:r>
          </w:p>
        </w:tc>
        <w:tc>
          <w:tcPr>
            <w:tcW w:w="9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47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0E616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56D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2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E8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</w:rPr>
              <w:t>让理论在真实中生长</w:t>
            </w:r>
            <w:r>
              <w:rPr>
                <w:rFonts w:hint="eastAsia"/>
                <w:lang w:eastAsia="zh-CN"/>
              </w:rPr>
              <w:t>—</w:t>
            </w:r>
            <w:r>
              <w:rPr>
                <w:rFonts w:hint="eastAsia"/>
              </w:rPr>
              <w:t>“银青对话”驱动</w:t>
            </w:r>
            <w:r>
              <w:rPr>
                <w:rFonts w:hint="eastAsia"/>
                <w:lang w:eastAsia="zh-CN"/>
              </w:rPr>
              <w:t>〈</w:t>
            </w:r>
            <w:r>
              <w:rPr>
                <w:rFonts w:hint="eastAsia"/>
              </w:rPr>
              <w:t>影视美学</w:t>
            </w:r>
            <w:r>
              <w:rPr>
                <w:rFonts w:hint="eastAsia"/>
                <w:lang w:eastAsia="zh-CN"/>
              </w:rPr>
              <w:t>〉</w:t>
            </w:r>
            <w:r>
              <w:rPr>
                <w:rFonts w:hint="eastAsia"/>
              </w:rPr>
              <w:t>课程的美育实践改革</w:t>
            </w:r>
            <w:r>
              <w:rPr>
                <w:rFonts w:hint="eastAsia"/>
                <w:lang w:eastAsia="zh-CN"/>
              </w:rPr>
              <w:t>》</w:t>
            </w:r>
          </w:p>
        </w:tc>
        <w:tc>
          <w:tcPr>
            <w:tcW w:w="1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35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教学改革案例</w:t>
            </w:r>
          </w:p>
        </w:tc>
        <w:tc>
          <w:tcPr>
            <w:tcW w:w="9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05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49B24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CE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2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CD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</w:rPr>
              <w:t>根植赣鄱 以美育心</w:t>
            </w:r>
            <w:r>
              <w:rPr>
                <w:rFonts w:hint="eastAsia"/>
                <w:lang w:eastAsia="zh-CN"/>
              </w:rPr>
              <w:t>—</w:t>
            </w:r>
            <w:r>
              <w:rPr>
                <w:rFonts w:hint="eastAsia"/>
              </w:rPr>
              <w:t>“一核两翼·</w:t>
            </w:r>
          </w:p>
          <w:p w14:paraId="20229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四场域五成长”美育浸润育人模式的探索与实践</w:t>
            </w:r>
            <w:r>
              <w:rPr>
                <w:rFonts w:hint="eastAsia"/>
                <w:lang w:eastAsia="zh-CN"/>
              </w:rPr>
              <w:t>》</w:t>
            </w:r>
            <w:bookmarkStart w:id="0" w:name="_GoBack"/>
            <w:bookmarkEnd w:id="0"/>
          </w:p>
        </w:tc>
        <w:tc>
          <w:tcPr>
            <w:tcW w:w="1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C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教学改革案例</w:t>
            </w:r>
          </w:p>
        </w:tc>
        <w:tc>
          <w:tcPr>
            <w:tcW w:w="9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31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4FF9F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C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2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A5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《学校美育浸润行动的南理实践》</w:t>
            </w:r>
          </w:p>
        </w:tc>
        <w:tc>
          <w:tcPr>
            <w:tcW w:w="1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42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学术论文</w:t>
            </w:r>
          </w:p>
        </w:tc>
        <w:tc>
          <w:tcPr>
            <w:tcW w:w="9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D90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0DF73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99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2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2B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</w:rPr>
              <w:t>课程融合视角下高校艺术教师美育素养的课堂渗透路径研究</w:t>
            </w:r>
            <w:r>
              <w:rPr>
                <w:rFonts w:hint="eastAsia"/>
                <w:lang w:eastAsia="zh-CN"/>
              </w:rPr>
              <w:t>》</w:t>
            </w:r>
          </w:p>
        </w:tc>
        <w:tc>
          <w:tcPr>
            <w:tcW w:w="1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36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学术论文</w:t>
            </w:r>
          </w:p>
        </w:tc>
        <w:tc>
          <w:tcPr>
            <w:tcW w:w="9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D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1CCB5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71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2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5A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</w:rPr>
              <w:t>赣鄱文化赋能高校美育浸润的运行机制</w:t>
            </w:r>
            <w:r>
              <w:rPr>
                <w:rFonts w:hint="eastAsia"/>
                <w:lang w:eastAsia="zh-CN"/>
              </w:rPr>
              <w:t>—</w:t>
            </w:r>
            <w:r>
              <w:rPr>
                <w:rFonts w:hint="eastAsia"/>
              </w:rPr>
              <w:t>以南昌理工学院</w:t>
            </w:r>
            <w:r>
              <w:rPr>
                <w:rFonts w:hint="eastAsia"/>
                <w:lang w:eastAsia="zh-CN"/>
              </w:rPr>
              <w:t>为例》</w:t>
            </w:r>
          </w:p>
        </w:tc>
        <w:tc>
          <w:tcPr>
            <w:tcW w:w="17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C0A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学术论文</w:t>
            </w:r>
          </w:p>
        </w:tc>
        <w:tc>
          <w:tcPr>
            <w:tcW w:w="9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A65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</w:tbl>
    <w:p w14:paraId="32C09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sz w:val="24"/>
          <w:szCs w:val="32"/>
        </w:rPr>
      </w:pPr>
    </w:p>
    <w:sectPr>
      <w:pgSz w:w="11906" w:h="16838"/>
      <w:pgMar w:top="1440" w:right="104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3B7491"/>
    <w:multiLevelType w:val="singleLevel"/>
    <w:tmpl w:val="A73B7491"/>
    <w:lvl w:ilvl="0" w:tentative="0">
      <w:start w:val="1"/>
      <w:numFmt w:val="chineseCounting"/>
      <w:pStyle w:val="3"/>
      <w:suff w:val="nothing"/>
      <w:lvlText w:val="（%1）"/>
      <w:lvlJc w:val="left"/>
      <w:pPr>
        <w:ind w:left="737"/>
      </w:pPr>
      <w:rPr>
        <w:rFonts w:hint="eastAsia"/>
      </w:rPr>
    </w:lvl>
  </w:abstractNum>
  <w:abstractNum w:abstractNumId="1">
    <w:nsid w:val="B5CCC284"/>
    <w:multiLevelType w:val="singleLevel"/>
    <w:tmpl w:val="B5CCC284"/>
    <w:lvl w:ilvl="0" w:tentative="0">
      <w:start w:val="1"/>
      <w:numFmt w:val="chineseCounting"/>
      <w:pStyle w:val="2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1C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numPr>
        <w:ilvl w:val="0"/>
        <w:numId w:val="1"/>
      </w:numPr>
      <w:spacing w:beforeLines="0"/>
      <w:outlineLvl w:val="0"/>
    </w:pPr>
    <w:rPr>
      <w:rFonts w:ascii="黑体" w:hAnsi="黑体" w:eastAsia="黑体" w:cs="黑体"/>
      <w:bCs/>
      <w:kern w:val="44"/>
      <w:sz w:val="32"/>
    </w:rPr>
  </w:style>
  <w:style w:type="paragraph" w:styleId="3">
    <w:name w:val="heading 2"/>
    <w:basedOn w:val="2"/>
    <w:next w:val="1"/>
    <w:link w:val="8"/>
    <w:unhideWhenUsed/>
    <w:qFormat/>
    <w:uiPriority w:val="0"/>
    <w:pPr>
      <w:numPr>
        <w:numId w:val="2"/>
      </w:numPr>
      <w:ind w:left="0"/>
      <w:outlineLvl w:val="1"/>
    </w:pPr>
    <w:rPr>
      <w:rFonts w:eastAsia="楷体"/>
      <w:b/>
    </w:rPr>
  </w:style>
  <w:style w:type="paragraph" w:styleId="4">
    <w:name w:val="heading 3"/>
    <w:basedOn w:val="1"/>
    <w:next w:val="1"/>
    <w:link w:val="9"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420" w:firstLineChars="200"/>
      <w:outlineLvl w:val="2"/>
    </w:pPr>
    <w:rPr>
      <w:rFonts w:ascii="仿宋" w:hAnsi="仿宋" w:eastAsia="方正仿宋_GB2312" w:cs="Times New Roman"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Char"/>
    <w:link w:val="2"/>
    <w:qFormat/>
    <w:uiPriority w:val="0"/>
    <w:rPr>
      <w:rFonts w:ascii="黑体" w:hAnsi="黑体" w:eastAsia="黑体" w:cs="黑体"/>
      <w:bCs/>
      <w:kern w:val="44"/>
      <w:sz w:val="32"/>
    </w:rPr>
  </w:style>
  <w:style w:type="character" w:customStyle="1" w:styleId="8">
    <w:name w:val="标题 2 Char"/>
    <w:link w:val="3"/>
    <w:qFormat/>
    <w:uiPriority w:val="0"/>
    <w:rPr>
      <w:rFonts w:ascii="黑体" w:hAnsi="黑体" w:eastAsia="楷体" w:cs="黑体"/>
      <w:b/>
      <w:bCs/>
      <w:kern w:val="44"/>
      <w:sz w:val="32"/>
      <w:szCs w:val="24"/>
      <w:lang w:val="en-US" w:eastAsia="zh-CN" w:bidi="ar-SA"/>
    </w:rPr>
  </w:style>
  <w:style w:type="character" w:customStyle="1" w:styleId="9">
    <w:name w:val="标题 3 Char"/>
    <w:link w:val="4"/>
    <w:qFormat/>
    <w:uiPriority w:val="0"/>
    <w:rPr>
      <w:rFonts w:ascii="仿宋" w:hAnsi="仿宋" w:eastAsia="方正仿宋_GB2312" w:cs="Times New Roman"/>
      <w:sz w:val="32"/>
    </w:rPr>
  </w:style>
  <w:style w:type="character" w:customStyle="1" w:styleId="10">
    <w:name w:val="font31"/>
    <w:basedOn w:val="6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827</Words>
  <Characters>857</Characters>
  <Lines>0</Lines>
  <Paragraphs>0</Paragraphs>
  <TotalTime>3</TotalTime>
  <ScaleCrop>false</ScaleCrop>
  <LinksUpToDate>false</LinksUpToDate>
  <CharactersWithSpaces>953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2026-07-07T19:07:00Z</dcterms:created>
  <dc:creator>盒子</dc:creator>
  <cp:lastModifiedBy>罗莹</cp:lastModifiedBy>
  <dcterms:modified xsi:type="dcterms:W3CDTF">2026-08-11T03:32:16Z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C8672FCFF3E554C3C2937A6AA38A7A42_33</vt:lpwstr>
  </property>
  <property fmtid="{D5CDD505-2E9C-101B-9397-08002B2CF9AE}" pid="4" name="KSOTemplateDocerSaveRecord">
    <vt:lpwstr>eyJoZGlkIjoiYTc1OTA1YzFhZmQyMDJjNDkwNmU5NjMzODFiNGU2NTIiLCJ1c2VySWQiOiIxNzkzODgxOTgwIn0=</vt:lpwstr>
  </property>
</Properties>
</file>